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DB377B" w:rsidP="00F2387A">
            <w:pPr>
              <w:pStyle w:val="Header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2017 </w:t>
            </w:r>
            <w:r w:rsidR="00C03663">
              <w:rPr>
                <w:rFonts w:asciiTheme="majorHAnsi" w:eastAsiaTheme="majorEastAsia" w:hAnsiTheme="majorHAnsi" w:cstheme="majorBidi"/>
                <w:sz w:val="36"/>
                <w:szCs w:val="36"/>
              </w:rPr>
              <w:t>Temmuz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Header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B36193" w:rsidP="00DB377B">
            <w:pPr>
              <w:pStyle w:val="Header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C0366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5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C0366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Temmuz</w:t>
            </w:r>
            <w:r w:rsidR="00041E14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</w:t>
            </w:r>
            <w:r w:rsidR="00DB377B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7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US" w:eastAsia="en-US"/>
              </w:rPr>
              <w:drawing>
                <wp:inline distT="0" distB="0" distL="0" distR="0" wp14:anchorId="3FD4150F" wp14:editId="4638B84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C03663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Temmuz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>
        <w:rPr>
          <w:rFonts w:ascii="Times New Roman" w:hAnsi="Times New Roman" w:cs="Times New Roman"/>
          <w:b/>
        </w:rPr>
        <w:t>25 Temmuz</w:t>
      </w:r>
      <w:r w:rsidR="004F0E94">
        <w:rPr>
          <w:rFonts w:ascii="Times New Roman" w:hAnsi="Times New Roman" w:cs="Times New Roman"/>
          <w:b/>
        </w:rPr>
        <w:t xml:space="preserve"> 201</w:t>
      </w:r>
      <w:r w:rsidR="00DB377B">
        <w:rPr>
          <w:rFonts w:ascii="Times New Roman" w:hAnsi="Times New Roman" w:cs="Times New Roman"/>
          <w:b/>
        </w:rPr>
        <w:t>7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Heading2"/>
      </w:pPr>
      <w:r>
        <w:t>İnşaat</w:t>
      </w:r>
      <w:r w:rsidRPr="002B5EAF">
        <w:t xml:space="preserve"> sektörü güven endeksi</w:t>
      </w:r>
    </w:p>
    <w:p w:rsidR="00BA0AF0" w:rsidRDefault="00DB377B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C03663">
        <w:rPr>
          <w:rFonts w:ascii="Times New Roman" w:hAnsi="Times New Roman" w:cs="Times New Roman"/>
        </w:rPr>
        <w:t xml:space="preserve"> yılı Haziran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C03663">
        <w:rPr>
          <w:rFonts w:ascii="Times New Roman" w:hAnsi="Times New Roman" w:cs="Times New Roman"/>
        </w:rPr>
        <w:t>86,7</w:t>
      </w:r>
      <w:r w:rsidR="00BA0AF0"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 w:rsidR="00C03663">
        <w:rPr>
          <w:rFonts w:ascii="Times New Roman" w:hAnsi="Times New Roman" w:cs="Times New Roman"/>
        </w:rPr>
        <w:t>Temmuz</w:t>
      </w:r>
      <w:r w:rsidR="00B36193">
        <w:rPr>
          <w:rFonts w:ascii="Times New Roman" w:hAnsi="Times New Roman" w:cs="Times New Roman"/>
        </w:rPr>
        <w:t xml:space="preserve"> ayında </w:t>
      </w:r>
      <w:r w:rsidR="00C03663">
        <w:rPr>
          <w:rFonts w:ascii="Times New Roman" w:hAnsi="Times New Roman" w:cs="Times New Roman"/>
        </w:rPr>
        <w:t>1</w:t>
      </w:r>
      <w:r w:rsidR="00B4408D">
        <w:rPr>
          <w:rFonts w:ascii="Times New Roman" w:hAnsi="Times New Roman" w:cs="Times New Roman"/>
        </w:rPr>
        <w:t>,</w:t>
      </w:r>
      <w:r w:rsidR="00B74F32">
        <w:rPr>
          <w:rFonts w:ascii="Times New Roman" w:hAnsi="Times New Roman" w:cs="Times New Roman"/>
        </w:rPr>
        <w:t>2</w:t>
      </w:r>
      <w:r w:rsidR="0045208A">
        <w:rPr>
          <w:rFonts w:ascii="Times New Roman" w:hAnsi="Times New Roman" w:cs="Times New Roman"/>
        </w:rPr>
        <w:t xml:space="preserve"> puan </w:t>
      </w:r>
      <w:r w:rsidR="00C03663">
        <w:rPr>
          <w:rFonts w:ascii="Times New Roman" w:hAnsi="Times New Roman" w:cs="Times New Roman"/>
        </w:rPr>
        <w:t xml:space="preserve">azalarak </w:t>
      </w:r>
      <w:r w:rsidR="008C3A4E">
        <w:rPr>
          <w:rFonts w:ascii="Times New Roman" w:hAnsi="Times New Roman" w:cs="Times New Roman"/>
        </w:rPr>
        <w:t>8</w:t>
      </w:r>
      <w:r w:rsidR="00C03663">
        <w:rPr>
          <w:rFonts w:ascii="Times New Roman" w:hAnsi="Times New Roman" w:cs="Times New Roman"/>
        </w:rPr>
        <w:t>5,5</w:t>
      </w:r>
      <w:r w:rsidR="00BA0AF0" w:rsidRPr="00472839">
        <w:rPr>
          <w:rFonts w:ascii="Times New Roman" w:hAnsi="Times New Roman" w:cs="Times New Roman"/>
        </w:rPr>
        <w:t xml:space="preserve"> seviyesine </w:t>
      </w:r>
      <w:r w:rsidR="00E15A75">
        <w:rPr>
          <w:rFonts w:ascii="Times New Roman" w:hAnsi="Times New Roman" w:cs="Times New Roman"/>
        </w:rPr>
        <w:t>düşmüştür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B36193">
        <w:rPr>
          <w:rFonts w:ascii="Times New Roman" w:hAnsi="Times New Roman" w:cs="Times New Roman"/>
        </w:rPr>
        <w:t xml:space="preserve"> y</w:t>
      </w:r>
      <w:r w:rsidR="00DA1603">
        <w:rPr>
          <w:rFonts w:ascii="Times New Roman" w:hAnsi="Times New Roman" w:cs="Times New Roman"/>
        </w:rPr>
        <w:t>ılın aynı döneminde</w:t>
      </w:r>
      <w:r w:rsidR="00646E0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46E04">
        <w:rPr>
          <w:rFonts w:ascii="Times New Roman" w:hAnsi="Times New Roman" w:cs="Times New Roman"/>
        </w:rPr>
        <w:t>83,0</w:t>
      </w:r>
      <w:r w:rsidR="006157CE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puan olan </w:t>
      </w:r>
      <w:r w:rsidR="00B36193">
        <w:rPr>
          <w:rFonts w:ascii="Times New Roman" w:hAnsi="Times New Roman" w:cs="Times New Roman"/>
        </w:rPr>
        <w:t xml:space="preserve">inşaat sektörü güven endeksi </w:t>
      </w:r>
      <w:r w:rsidR="00646E04">
        <w:rPr>
          <w:rFonts w:ascii="Times New Roman" w:hAnsi="Times New Roman" w:cs="Times New Roman"/>
        </w:rPr>
        <w:t>2,5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DA1603">
        <w:rPr>
          <w:rFonts w:ascii="Times New Roman" w:hAnsi="Times New Roman" w:cs="Times New Roman"/>
        </w:rPr>
        <w:t>yükselerek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B36193">
        <w:rPr>
          <w:rFonts w:ascii="Times New Roman" w:hAnsi="Times New Roman" w:cs="Times New Roman"/>
        </w:rPr>
        <w:t>zde</w:t>
      </w:r>
      <w:r w:rsidR="005E0AFC">
        <w:rPr>
          <w:rFonts w:ascii="Times New Roman" w:hAnsi="Times New Roman" w:cs="Times New Roman"/>
        </w:rPr>
        <w:t xml:space="preserve"> </w:t>
      </w:r>
      <w:r w:rsidR="00646E04">
        <w:rPr>
          <w:rFonts w:ascii="Times New Roman" w:hAnsi="Times New Roman" w:cs="Times New Roman"/>
        </w:rPr>
        <w:t>3</w:t>
      </w:r>
      <w:r w:rsidR="003E7ABA" w:rsidRPr="00472839">
        <w:rPr>
          <w:rFonts w:ascii="Times New Roman" w:hAnsi="Times New Roman" w:cs="Times New Roman"/>
        </w:rPr>
        <w:t xml:space="preserve"> oranında </w:t>
      </w:r>
      <w:r w:rsidR="00B36193"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71356F" w:rsidRDefault="00E22179" w:rsidP="00BA0AF0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982EED">
        <w:rPr>
          <w:rFonts w:ascii="Times New Roman" w:hAnsi="Times New Roman" w:cs="Times New Roman"/>
        </w:rPr>
        <w:t>7</w:t>
      </w:r>
      <w:r w:rsidRPr="002B5EAF">
        <w:rPr>
          <w:rFonts w:ascii="Times New Roman" w:hAnsi="Times New Roman" w:cs="Times New Roman"/>
        </w:rPr>
        <w:t xml:space="preserve"> yılı </w:t>
      </w:r>
      <w:r w:rsidR="00646E04">
        <w:rPr>
          <w:rFonts w:ascii="Times New Roman" w:hAnsi="Times New Roman" w:cs="Times New Roman"/>
        </w:rPr>
        <w:t>Temmuz a</w:t>
      </w:r>
      <w:r w:rsidR="00B36193">
        <w:rPr>
          <w:rFonts w:ascii="Times New Roman" w:hAnsi="Times New Roman" w:cs="Times New Roman"/>
        </w:rPr>
        <w:t xml:space="preserve">yında bir önceki aya göre </w:t>
      </w:r>
      <w:r w:rsidR="00646E04">
        <w:rPr>
          <w:rFonts w:ascii="Times New Roman" w:hAnsi="Times New Roman" w:cs="Times New Roman"/>
        </w:rPr>
        <w:t>3,3</w:t>
      </w:r>
      <w:r w:rsidRPr="002B5EAF">
        <w:rPr>
          <w:rFonts w:ascii="Times New Roman" w:hAnsi="Times New Roman" w:cs="Times New Roman"/>
        </w:rPr>
        <w:t xml:space="preserve"> puan </w:t>
      </w:r>
      <w:r w:rsidR="00982EED">
        <w:rPr>
          <w:rFonts w:ascii="Times New Roman" w:hAnsi="Times New Roman" w:cs="Times New Roman"/>
        </w:rPr>
        <w:t xml:space="preserve">azalarak </w:t>
      </w:r>
      <w:r w:rsidR="00646E04">
        <w:rPr>
          <w:rFonts w:ascii="Times New Roman" w:hAnsi="Times New Roman" w:cs="Times New Roman"/>
        </w:rPr>
        <w:t>87,1</w:t>
      </w:r>
      <w:r w:rsidRPr="002B5EAF">
        <w:rPr>
          <w:rFonts w:ascii="Times New Roman" w:hAnsi="Times New Roman" w:cs="Times New Roman"/>
        </w:rPr>
        <w:t xml:space="preserve"> puana </w:t>
      </w:r>
      <w:r w:rsidR="00982EED">
        <w:rPr>
          <w:rFonts w:ascii="Times New Roman" w:hAnsi="Times New Roman" w:cs="Times New Roman"/>
        </w:rPr>
        <w:t>düşmüştür</w:t>
      </w:r>
      <w:r w:rsidRPr="002B5EAF">
        <w:rPr>
          <w:rFonts w:ascii="Times New Roman" w:hAnsi="Times New Roman" w:cs="Times New Roman"/>
        </w:rPr>
        <w:t>. 201</w:t>
      </w:r>
      <w:r w:rsidR="00982EED">
        <w:rPr>
          <w:rFonts w:ascii="Times New Roman" w:hAnsi="Times New Roman" w:cs="Times New Roman"/>
        </w:rPr>
        <w:t>6</w:t>
      </w:r>
      <w:r w:rsidRPr="002B5EAF">
        <w:rPr>
          <w:rFonts w:ascii="Times New Roman" w:hAnsi="Times New Roman" w:cs="Times New Roman"/>
        </w:rPr>
        <w:t xml:space="preserve"> </w:t>
      </w:r>
      <w:r w:rsidR="00646E04">
        <w:rPr>
          <w:rFonts w:ascii="Times New Roman" w:hAnsi="Times New Roman" w:cs="Times New Roman"/>
        </w:rPr>
        <w:t xml:space="preserve">Temmuz </w:t>
      </w:r>
      <w:r w:rsidRPr="002B5EAF">
        <w:rPr>
          <w:rFonts w:ascii="Times New Roman" w:hAnsi="Times New Roman" w:cs="Times New Roman"/>
        </w:rPr>
        <w:t xml:space="preserve">ayı verilerine göre incelendiğinde ise, yüzde </w:t>
      </w:r>
      <w:r w:rsidR="00646E04">
        <w:rPr>
          <w:rFonts w:ascii="Times New Roman" w:eastAsia="Times New Roman" w:hAnsi="Times New Roman" w:cs="Times New Roman"/>
          <w:color w:val="000000"/>
        </w:rPr>
        <w:t>3,7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oranında </w:t>
      </w:r>
      <w:r w:rsidR="00B36193">
        <w:rPr>
          <w:rFonts w:ascii="Times New Roman" w:eastAsia="Times New Roman" w:hAnsi="Times New Roman" w:cs="Times New Roman"/>
          <w:color w:val="000000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Caption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="00995A82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576633">
        <w:rPr>
          <w:rFonts w:ascii="Times New Roman" w:hAnsi="Times New Roman" w:cs="Times New Roman"/>
          <w:sz w:val="22"/>
          <w:szCs w:val="22"/>
        </w:rPr>
        <w:t>Temmuz</w:t>
      </w:r>
      <w:r w:rsidR="00494A67">
        <w:rPr>
          <w:rFonts w:ascii="Times New Roman" w:hAnsi="Times New Roman" w:cs="Times New Roman"/>
          <w:sz w:val="22"/>
          <w:szCs w:val="22"/>
        </w:rPr>
        <w:t xml:space="preserve"> 2016 –</w:t>
      </w:r>
      <w:r w:rsidR="00576633">
        <w:rPr>
          <w:rFonts w:ascii="Times New Roman" w:hAnsi="Times New Roman" w:cs="Times New Roman"/>
          <w:sz w:val="22"/>
          <w:szCs w:val="22"/>
        </w:rPr>
        <w:t xml:space="preserve">Temmuz </w:t>
      </w:r>
      <w:r w:rsidR="00494A67">
        <w:rPr>
          <w:rFonts w:ascii="Times New Roman" w:hAnsi="Times New Roman" w:cs="Times New Roman"/>
          <w:sz w:val="22"/>
          <w:szCs w:val="22"/>
        </w:rPr>
        <w:t>2017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576633" w:rsidP="00F2387A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w:drawing>
          <wp:inline distT="0" distB="0" distL="0" distR="0" wp14:anchorId="4096D66D" wp14:editId="7D4AFECF">
            <wp:extent cx="5798820" cy="2461260"/>
            <wp:effectExtent l="0" t="0" r="11430" b="1524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1204" w:rsidRPr="002B5EAF" w:rsidRDefault="00415908" w:rsidP="00CE56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E05545">
        <w:rPr>
          <w:rFonts w:ascii="Times New Roman" w:hAnsi="Times New Roman" w:cs="Times New Roman"/>
        </w:rPr>
        <w:t>Haziran</w:t>
      </w:r>
      <w:r w:rsidR="00543DFC">
        <w:rPr>
          <w:rFonts w:ascii="Times New Roman" w:hAnsi="Times New Roman" w:cs="Times New Roman"/>
        </w:rPr>
        <w:t xml:space="preserve"> 2017’de 7</w:t>
      </w:r>
      <w:r w:rsidR="00E05545">
        <w:rPr>
          <w:rFonts w:ascii="Times New Roman" w:hAnsi="Times New Roman" w:cs="Times New Roman"/>
        </w:rPr>
        <w:t>1,2</w:t>
      </w:r>
      <w:r>
        <w:rPr>
          <w:rFonts w:ascii="Times New Roman" w:hAnsi="Times New Roman" w:cs="Times New Roman"/>
        </w:rPr>
        <w:t xml:space="preserve"> puan olan alınan</w:t>
      </w:r>
      <w:r w:rsidR="00B050DB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siparişle</w:t>
      </w:r>
      <w:r w:rsidR="00E05545">
        <w:rPr>
          <w:rFonts w:ascii="Times New Roman" w:hAnsi="Times New Roman" w:cs="Times New Roman"/>
        </w:rPr>
        <w:t>rin mevcut düzeyinin, Temmuz</w:t>
      </w:r>
      <w:r w:rsidR="00543DFC">
        <w:rPr>
          <w:rFonts w:ascii="Times New Roman" w:hAnsi="Times New Roman" w:cs="Times New Roman"/>
        </w:rPr>
        <w:t xml:space="preserve"> 2017’te 0</w:t>
      </w:r>
      <w:r w:rsidR="00E05545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puan </w:t>
      </w:r>
      <w:r w:rsidR="00E05545">
        <w:rPr>
          <w:rFonts w:ascii="Times New Roman" w:hAnsi="Times New Roman" w:cs="Times New Roman"/>
        </w:rPr>
        <w:t>düştüğü</w:t>
      </w:r>
      <w:r w:rsidR="00B36193">
        <w:rPr>
          <w:rFonts w:ascii="Times New Roman" w:hAnsi="Times New Roman" w:cs="Times New Roman"/>
        </w:rPr>
        <w:t xml:space="preserve"> ve </w:t>
      </w:r>
      <w:r w:rsidR="00E05545">
        <w:rPr>
          <w:rFonts w:ascii="Times New Roman" w:hAnsi="Times New Roman" w:cs="Times New Roman"/>
        </w:rPr>
        <w:t>70,3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 </w:t>
      </w:r>
      <w:r w:rsidR="00E05545">
        <w:rPr>
          <w:rFonts w:ascii="Times New Roman" w:hAnsi="Times New Roman" w:cs="Times New Roman"/>
        </w:rPr>
        <w:t>Haziran</w:t>
      </w:r>
      <w:r w:rsidR="00543DFC">
        <w:rPr>
          <w:rFonts w:ascii="Times New Roman" w:hAnsi="Times New Roman" w:cs="Times New Roman"/>
        </w:rPr>
        <w:t xml:space="preserve"> 2017’de 102,</w:t>
      </w:r>
      <w:r w:rsidR="00E055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puan iken, </w:t>
      </w:r>
      <w:r w:rsidR="00E05545">
        <w:rPr>
          <w:rFonts w:ascii="Times New Roman" w:hAnsi="Times New Roman" w:cs="Times New Roman"/>
        </w:rPr>
        <w:t>Temmuz</w:t>
      </w:r>
      <w:r w:rsidR="00543DFC">
        <w:rPr>
          <w:rFonts w:ascii="Times New Roman" w:hAnsi="Times New Roman" w:cs="Times New Roman"/>
        </w:rPr>
        <w:t xml:space="preserve"> 2017’de</w:t>
      </w:r>
      <w:r w:rsidR="006178F0">
        <w:rPr>
          <w:rFonts w:ascii="Times New Roman" w:hAnsi="Times New Roman" w:cs="Times New Roman"/>
        </w:rPr>
        <w:t xml:space="preserve"> yüzde </w:t>
      </w:r>
      <w:r w:rsidR="00170F04">
        <w:rPr>
          <w:rFonts w:ascii="Times New Roman" w:hAnsi="Times New Roman" w:cs="Times New Roman"/>
        </w:rPr>
        <w:t>1,5</w:t>
      </w:r>
      <w:r>
        <w:rPr>
          <w:rFonts w:ascii="Times New Roman" w:hAnsi="Times New Roman" w:cs="Times New Roman"/>
        </w:rPr>
        <w:t xml:space="preserve"> oranında </w:t>
      </w:r>
      <w:r w:rsidR="00170F04">
        <w:rPr>
          <w:rFonts w:ascii="Times New Roman" w:hAnsi="Times New Roman" w:cs="Times New Roman"/>
        </w:rPr>
        <w:t>düşerek</w:t>
      </w:r>
      <w:r w:rsidR="006A3C59">
        <w:rPr>
          <w:rFonts w:ascii="Times New Roman" w:hAnsi="Times New Roman" w:cs="Times New Roman"/>
        </w:rPr>
        <w:t xml:space="preserve"> 10</w:t>
      </w:r>
      <w:r w:rsidR="00170F04">
        <w:rPr>
          <w:rFonts w:ascii="Times New Roman" w:hAnsi="Times New Roman" w:cs="Times New Roman"/>
        </w:rPr>
        <w:t>0,6</w:t>
      </w:r>
      <w:r>
        <w:rPr>
          <w:rFonts w:ascii="Times New Roman" w:hAnsi="Times New Roman" w:cs="Times New Roman"/>
        </w:rPr>
        <w:t xml:space="preserve"> puan olmuştur. </w:t>
      </w:r>
    </w:p>
    <w:p w:rsidR="00415908" w:rsidRDefault="00415908" w:rsidP="00415908">
      <w:pPr>
        <w:pStyle w:val="Caption"/>
        <w:keepNext/>
      </w:pPr>
      <w:r>
        <w:t xml:space="preserve">Tablo </w:t>
      </w:r>
      <w:fldSimple w:instr=" SEQ Tablo \* ARABIC ">
        <w:r w:rsidR="00995A82">
          <w:rPr>
            <w:noProof/>
          </w:rPr>
          <w:t>1</w:t>
        </w:r>
      </w:fldSimple>
      <w:r w:rsidR="00F5267F">
        <w:t>: İnşaat Sektörü Güven Endeksi B</w:t>
      </w:r>
      <w:r>
        <w:t>ileşenleri (</w:t>
      </w:r>
      <w:r w:rsidR="00543DFC">
        <w:t>Haziran</w:t>
      </w:r>
      <w:r w:rsidR="00A8233A">
        <w:t xml:space="preserve"> - Temmuz</w:t>
      </w:r>
      <w:r w:rsidR="00543DFC">
        <w:t xml:space="preserve"> 201</w:t>
      </w:r>
      <w:r w:rsidR="00A8233A">
        <w:t>7</w:t>
      </w:r>
      <w: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E05545" w:rsidRPr="00415908" w:rsidTr="00E05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E05545" w:rsidRPr="00415908" w:rsidRDefault="00E05545" w:rsidP="00E055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  <w:hideMark/>
          </w:tcPr>
          <w:p w:rsidR="00E05545" w:rsidRPr="00415908" w:rsidRDefault="00E05545" w:rsidP="00E05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Haz.</w:t>
            </w:r>
            <w:r w:rsidRPr="00415908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  <w:tc>
          <w:tcPr>
            <w:tcW w:w="1328" w:type="dxa"/>
            <w:noWrap/>
          </w:tcPr>
          <w:p w:rsidR="00E05545" w:rsidRPr="00415908" w:rsidRDefault="00E05545" w:rsidP="00E05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Tem.17</w:t>
            </w:r>
          </w:p>
        </w:tc>
      </w:tr>
      <w:tr w:rsidR="00E05545" w:rsidRPr="00DC3CEB" w:rsidTr="00E0554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E05545" w:rsidRPr="00DC3CEB" w:rsidRDefault="00E05545" w:rsidP="00E05545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E05545" w:rsidRPr="00DC3CEB" w:rsidRDefault="00E05545" w:rsidP="00E0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86,7</w:t>
            </w:r>
          </w:p>
        </w:tc>
        <w:tc>
          <w:tcPr>
            <w:tcW w:w="1328" w:type="dxa"/>
            <w:noWrap/>
          </w:tcPr>
          <w:p w:rsidR="00E05545" w:rsidRPr="00DC3CEB" w:rsidRDefault="00E05545" w:rsidP="00E0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85,5</w:t>
            </w:r>
          </w:p>
        </w:tc>
      </w:tr>
      <w:tr w:rsidR="00E05545" w:rsidRPr="00DC3CEB" w:rsidTr="00E05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E05545" w:rsidRPr="00DC3CEB" w:rsidRDefault="00E05545" w:rsidP="00E05545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Alınan kayıtlı s</w:t>
            </w: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iparişlerin mevcut düzeyi</w:t>
            </w:r>
          </w:p>
        </w:tc>
        <w:tc>
          <w:tcPr>
            <w:tcW w:w="1224" w:type="dxa"/>
            <w:noWrap/>
            <w:hideMark/>
          </w:tcPr>
          <w:p w:rsidR="00E05545" w:rsidRPr="00DC3CEB" w:rsidRDefault="00E05545" w:rsidP="00E05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71,2</w:t>
            </w:r>
          </w:p>
        </w:tc>
        <w:tc>
          <w:tcPr>
            <w:tcW w:w="1328" w:type="dxa"/>
            <w:noWrap/>
          </w:tcPr>
          <w:p w:rsidR="00E05545" w:rsidRPr="00DC3CEB" w:rsidRDefault="00E05545" w:rsidP="00E05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70,3</w:t>
            </w:r>
          </w:p>
        </w:tc>
      </w:tr>
      <w:tr w:rsidR="00E05545" w:rsidRPr="00DC3CEB" w:rsidTr="00E05545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E05545" w:rsidRPr="00DC3CEB" w:rsidRDefault="00E05545" w:rsidP="00E05545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E05545" w:rsidRPr="00DC3CEB" w:rsidRDefault="00E05545" w:rsidP="00E0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102,2</w:t>
            </w:r>
          </w:p>
        </w:tc>
        <w:tc>
          <w:tcPr>
            <w:tcW w:w="1328" w:type="dxa"/>
            <w:noWrap/>
          </w:tcPr>
          <w:p w:rsidR="00E05545" w:rsidRPr="00DC3CEB" w:rsidRDefault="00E05545" w:rsidP="00E0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100,6</w:t>
            </w:r>
          </w:p>
        </w:tc>
      </w:tr>
    </w:tbl>
    <w:p w:rsidR="00E12C81" w:rsidRDefault="00E12C81" w:rsidP="00472839">
      <w:pPr>
        <w:pStyle w:val="Heading2"/>
      </w:pPr>
      <w:r w:rsidRPr="002B5EAF">
        <w:lastRenderedPageBreak/>
        <w:t>Hizmet sektörü güven endeksi</w:t>
      </w:r>
    </w:p>
    <w:p w:rsidR="00415908" w:rsidRDefault="0067120F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415908" w:rsidRPr="002B5EAF">
        <w:rPr>
          <w:rFonts w:ascii="Times New Roman" w:hAnsi="Times New Roman" w:cs="Times New Roman"/>
        </w:rPr>
        <w:t xml:space="preserve"> </w:t>
      </w:r>
      <w:r w:rsidR="00922474">
        <w:rPr>
          <w:rFonts w:ascii="Times New Roman" w:hAnsi="Times New Roman" w:cs="Times New Roman"/>
        </w:rPr>
        <w:t>Temmuz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2016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730B95">
        <w:rPr>
          <w:rFonts w:ascii="Times New Roman" w:hAnsi="Times New Roman" w:cs="Times New Roman"/>
        </w:rPr>
        <w:t>Temmuz</w:t>
      </w:r>
      <w:r w:rsidR="004701F9">
        <w:rPr>
          <w:rFonts w:ascii="Times New Roman" w:hAnsi="Times New Roman" w:cs="Times New Roman"/>
        </w:rPr>
        <w:t xml:space="preserve"> ayına göre yüzde </w:t>
      </w:r>
      <w:r w:rsidR="00730B95">
        <w:rPr>
          <w:rFonts w:ascii="Times New Roman" w:hAnsi="Times New Roman" w:cs="Times New Roman"/>
        </w:rPr>
        <w:t>2,9</w:t>
      </w:r>
      <w:r w:rsidR="00BB0798">
        <w:rPr>
          <w:rFonts w:ascii="Times New Roman" w:hAnsi="Times New Roman" w:cs="Times New Roman"/>
        </w:rPr>
        <w:t xml:space="preserve"> oranında </w:t>
      </w:r>
      <w:r w:rsidR="0095774C">
        <w:rPr>
          <w:rFonts w:ascii="Times New Roman" w:hAnsi="Times New Roman" w:cs="Times New Roman"/>
        </w:rPr>
        <w:t>artış</w:t>
      </w:r>
      <w:r w:rsidR="00BB0798">
        <w:rPr>
          <w:rFonts w:ascii="Times New Roman" w:hAnsi="Times New Roman" w:cs="Times New Roman"/>
        </w:rPr>
        <w:t xml:space="preserve"> gösterdiği</w:t>
      </w:r>
      <w:r w:rsidR="004701F9">
        <w:rPr>
          <w:rFonts w:ascii="Times New Roman" w:hAnsi="Times New Roman" w:cs="Times New Roman"/>
        </w:rPr>
        <w:t xml:space="preserve"> (</w:t>
      </w:r>
      <w:r w:rsidR="00730B95">
        <w:rPr>
          <w:rFonts w:ascii="Times New Roman" w:hAnsi="Times New Roman" w:cs="Times New Roman"/>
        </w:rPr>
        <w:t>2,9 puan</w:t>
      </w:r>
      <w:r w:rsidR="0095774C">
        <w:rPr>
          <w:rFonts w:ascii="Times New Roman" w:hAnsi="Times New Roman" w:cs="Times New Roman"/>
        </w:rPr>
        <w:t xml:space="preserve"> puan) ve </w:t>
      </w:r>
      <w:r w:rsidR="00730B95">
        <w:rPr>
          <w:rFonts w:ascii="Times New Roman" w:hAnsi="Times New Roman" w:cs="Times New Roman"/>
        </w:rPr>
        <w:t>103,7</w:t>
      </w:r>
      <w:r w:rsidR="00CC0799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95774C">
        <w:rPr>
          <w:rFonts w:ascii="Times New Roman" w:hAnsi="Times New Roman" w:cs="Times New Roman"/>
        </w:rPr>
        <w:t>çıkığı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730B95">
        <w:rPr>
          <w:rFonts w:ascii="Times New Roman" w:hAnsi="Times New Roman" w:cs="Times New Roman"/>
        </w:rPr>
        <w:t>Haziran</w:t>
      </w:r>
      <w:r w:rsidR="00415908" w:rsidRPr="002B5EAF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 xml:space="preserve">ayına göre bakıldığında ise </w:t>
      </w:r>
      <w:r w:rsidR="00730B95">
        <w:rPr>
          <w:rFonts w:ascii="Times New Roman" w:hAnsi="Times New Roman" w:cs="Times New Roman"/>
        </w:rPr>
        <w:t>yüzde 5</w:t>
      </w:r>
      <w:r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oranında </w:t>
      </w:r>
      <w:r w:rsidR="00730B95">
        <w:rPr>
          <w:rFonts w:ascii="Times New Roman" w:hAnsi="Times New Roman" w:cs="Times New Roman"/>
        </w:rPr>
        <w:t>arttığı</w:t>
      </w:r>
      <w:r w:rsidR="0095774C">
        <w:rPr>
          <w:rFonts w:ascii="Times New Roman" w:hAnsi="Times New Roman" w:cs="Times New Roman"/>
        </w:rPr>
        <w:t xml:space="preserve"> (</w:t>
      </w:r>
      <w:r w:rsidR="00730B95">
        <w:rPr>
          <w:rFonts w:ascii="Times New Roman" w:hAnsi="Times New Roman" w:cs="Times New Roman"/>
        </w:rPr>
        <w:t>5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</w:t>
      </w:r>
      <w:r w:rsidR="0067120F">
        <w:rPr>
          <w:rFonts w:ascii="Times New Roman" w:hAnsi="Times New Roman" w:cs="Times New Roman"/>
        </w:rPr>
        <w:t xml:space="preserve">7 yılının </w:t>
      </w:r>
      <w:r w:rsidR="00730B95">
        <w:rPr>
          <w:rFonts w:ascii="Times New Roman" w:hAnsi="Times New Roman" w:cs="Times New Roman"/>
        </w:rPr>
        <w:t>Haziran</w:t>
      </w:r>
      <w:r w:rsidR="005132FC">
        <w:rPr>
          <w:rFonts w:ascii="Times New Roman" w:hAnsi="Times New Roman" w:cs="Times New Roman"/>
        </w:rPr>
        <w:t xml:space="preserve"> ayına göre yüzde </w:t>
      </w:r>
      <w:r w:rsidR="0067120F">
        <w:rPr>
          <w:rFonts w:ascii="Times New Roman" w:hAnsi="Times New Roman" w:cs="Times New Roman"/>
        </w:rPr>
        <w:t>3,</w:t>
      </w:r>
      <w:r w:rsidR="00730B95">
        <w:rPr>
          <w:rFonts w:ascii="Times New Roman" w:hAnsi="Times New Roman" w:cs="Times New Roman"/>
        </w:rPr>
        <w:t>3</w:t>
      </w:r>
      <w:r w:rsidRPr="002B5EAF">
        <w:rPr>
          <w:rFonts w:ascii="Times New Roman" w:hAnsi="Times New Roman" w:cs="Times New Roman"/>
        </w:rPr>
        <w:t xml:space="preserve"> oranında </w:t>
      </w:r>
      <w:r w:rsidR="00730B95">
        <w:rPr>
          <w:rFonts w:ascii="Times New Roman" w:hAnsi="Times New Roman" w:cs="Times New Roman"/>
        </w:rPr>
        <w:t>artar</w:t>
      </w:r>
      <w:r w:rsidR="00CC0799">
        <w:rPr>
          <w:rFonts w:ascii="Times New Roman" w:hAnsi="Times New Roman" w:cs="Times New Roman"/>
        </w:rPr>
        <w:t>ak</w:t>
      </w:r>
      <w:r w:rsidR="00DB0FFC">
        <w:rPr>
          <w:rFonts w:ascii="Times New Roman" w:hAnsi="Times New Roman" w:cs="Times New Roman"/>
        </w:rPr>
        <w:t xml:space="preserve"> (</w:t>
      </w:r>
      <w:r w:rsidR="00730B95">
        <w:rPr>
          <w:rFonts w:ascii="Times New Roman" w:hAnsi="Times New Roman" w:cs="Times New Roman"/>
        </w:rPr>
        <w:t>3,4</w:t>
      </w:r>
      <w:r w:rsidR="00C41B6B">
        <w:rPr>
          <w:rFonts w:ascii="Times New Roman" w:hAnsi="Times New Roman" w:cs="Times New Roman"/>
        </w:rPr>
        <w:t xml:space="preserve"> </w:t>
      </w:r>
      <w:r w:rsidR="00BB0798">
        <w:rPr>
          <w:rFonts w:ascii="Times New Roman" w:hAnsi="Times New Roman" w:cs="Times New Roman"/>
        </w:rPr>
        <w:t>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</w:t>
      </w:r>
      <w:r w:rsidR="00730B95">
        <w:rPr>
          <w:rFonts w:ascii="Times New Roman" w:hAnsi="Times New Roman" w:cs="Times New Roman"/>
        </w:rPr>
        <w:t xml:space="preserve"> 108,7</w:t>
      </w:r>
      <w:r w:rsidR="00415908">
        <w:rPr>
          <w:rFonts w:ascii="Times New Roman" w:hAnsi="Times New Roman" w:cs="Times New Roman"/>
        </w:rPr>
        <w:t xml:space="preserve"> olurken, </w:t>
      </w:r>
      <w:r w:rsidR="0067120F">
        <w:rPr>
          <w:rFonts w:ascii="Times New Roman" w:hAnsi="Times New Roman" w:cs="Times New Roman"/>
        </w:rPr>
        <w:t>2016</w:t>
      </w:r>
      <w:r w:rsidRPr="002B5EAF">
        <w:rPr>
          <w:rFonts w:ascii="Times New Roman" w:hAnsi="Times New Roman" w:cs="Times New Roman"/>
        </w:rPr>
        <w:t xml:space="preserve"> yılı </w:t>
      </w:r>
      <w:r w:rsidR="00730B95">
        <w:rPr>
          <w:rFonts w:ascii="Times New Roman" w:hAnsi="Times New Roman" w:cs="Times New Roman"/>
        </w:rPr>
        <w:t>Temmuz</w:t>
      </w:r>
      <w:r w:rsidRPr="002B5EAF">
        <w:rPr>
          <w:rFonts w:ascii="Times New Roman" w:hAnsi="Times New Roman" w:cs="Times New Roman"/>
        </w:rPr>
        <w:t xml:space="preserve"> ayı</w:t>
      </w:r>
      <w:r w:rsidR="00DB0FFC">
        <w:rPr>
          <w:rFonts w:ascii="Times New Roman" w:hAnsi="Times New Roman" w:cs="Times New Roman"/>
        </w:rPr>
        <w:t>na göre</w:t>
      </w:r>
      <w:r w:rsidR="00EE3747">
        <w:rPr>
          <w:rFonts w:ascii="Times New Roman" w:hAnsi="Times New Roman" w:cs="Times New Roman"/>
        </w:rPr>
        <w:t xml:space="preserve"> </w:t>
      </w:r>
      <w:r w:rsidR="00730B95">
        <w:rPr>
          <w:rFonts w:ascii="Times New Roman" w:hAnsi="Times New Roman" w:cs="Times New Roman"/>
        </w:rPr>
        <w:t>7,2</w:t>
      </w:r>
      <w:r w:rsidR="00415908">
        <w:rPr>
          <w:rFonts w:ascii="Times New Roman" w:hAnsi="Times New Roman" w:cs="Times New Roman"/>
        </w:rPr>
        <w:t xml:space="preserve"> oranında </w:t>
      </w:r>
      <w:r w:rsidR="00415908" w:rsidRPr="002B5EAF">
        <w:rPr>
          <w:rFonts w:ascii="Times New Roman" w:hAnsi="Times New Roman" w:cs="Times New Roman"/>
        </w:rPr>
        <w:t>(</w:t>
      </w:r>
      <w:r w:rsidR="00730B95">
        <w:rPr>
          <w:rFonts w:ascii="Times New Roman" w:hAnsi="Times New Roman" w:cs="Times New Roman"/>
        </w:rPr>
        <w:t>7,3</w:t>
      </w:r>
      <w:r w:rsidR="00415908" w:rsidRPr="002B5EAF">
        <w:rPr>
          <w:rFonts w:ascii="Times New Roman" w:hAnsi="Times New Roman" w:cs="Times New Roman"/>
        </w:rPr>
        <w:t xml:space="preserve"> puan)</w:t>
      </w:r>
      <w:r w:rsidR="00415908">
        <w:rPr>
          <w:rFonts w:ascii="Times New Roman" w:hAnsi="Times New Roman" w:cs="Times New Roman"/>
        </w:rPr>
        <w:t xml:space="preserve"> </w:t>
      </w:r>
      <w:r w:rsidR="0095774C">
        <w:rPr>
          <w:rFonts w:ascii="Times New Roman" w:hAnsi="Times New Roman" w:cs="Times New Roman"/>
        </w:rPr>
        <w:t>artmıştır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Caption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67120F">
        <w:rPr>
          <w:rFonts w:ascii="Times New Roman" w:hAnsi="Times New Roman" w:cs="Times New Roman"/>
          <w:sz w:val="22"/>
          <w:szCs w:val="22"/>
        </w:rPr>
        <w:t>Haziran 2016 – Haziran 2017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6A1C57" w:rsidP="00F2387A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w:drawing>
          <wp:inline distT="0" distB="0" distL="0" distR="0" wp14:anchorId="25F49AB1" wp14:editId="128323DA">
            <wp:extent cx="6164580" cy="2408555"/>
            <wp:effectExtent l="0" t="0" r="7620" b="1079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 etkilerinden arındırılmış hizmet sektörü güven endeksinin oluştuğu alt kalemler incelendiğinde (Tablo 2), </w:t>
      </w:r>
      <w:r w:rsidR="00262FF1">
        <w:rPr>
          <w:rFonts w:ascii="Times New Roman" w:hAnsi="Times New Roman" w:cs="Times New Roman"/>
        </w:rPr>
        <w:t>Haziran</w:t>
      </w:r>
      <w:r w:rsidR="007C3780">
        <w:rPr>
          <w:rFonts w:ascii="Times New Roman" w:hAnsi="Times New Roman" w:cs="Times New Roman"/>
        </w:rPr>
        <w:t xml:space="preserve"> 2017’d</w:t>
      </w:r>
      <w:r w:rsidR="00E50E81">
        <w:rPr>
          <w:rFonts w:ascii="Times New Roman" w:hAnsi="Times New Roman" w:cs="Times New Roman"/>
        </w:rPr>
        <w:t>e 93,4</w:t>
      </w:r>
      <w:r>
        <w:rPr>
          <w:rFonts w:ascii="Times New Roman" w:hAnsi="Times New Roman" w:cs="Times New Roman"/>
        </w:rPr>
        <w:t xml:space="preserve"> puan olan iş durumunun,</w:t>
      </w:r>
      <w:r w:rsidR="00262FF1">
        <w:rPr>
          <w:rFonts w:ascii="Times New Roman" w:hAnsi="Times New Roman" w:cs="Times New Roman"/>
        </w:rPr>
        <w:t xml:space="preserve"> Temmuz</w:t>
      </w:r>
      <w:r>
        <w:rPr>
          <w:rFonts w:ascii="Times New Roman" w:hAnsi="Times New Roman" w:cs="Times New Roman"/>
        </w:rPr>
        <w:t xml:space="preserve"> a</w:t>
      </w:r>
      <w:r w:rsidR="00262FF1">
        <w:rPr>
          <w:rFonts w:ascii="Times New Roman" w:hAnsi="Times New Roman" w:cs="Times New Roman"/>
        </w:rPr>
        <w:t>yında yüzde 6,3</w:t>
      </w:r>
      <w:r w:rsidR="00EE168A">
        <w:rPr>
          <w:rFonts w:ascii="Times New Roman" w:hAnsi="Times New Roman" w:cs="Times New Roman"/>
        </w:rPr>
        <w:t xml:space="preserve"> oranında (</w:t>
      </w:r>
      <w:r w:rsidR="007C3780">
        <w:rPr>
          <w:rFonts w:ascii="Times New Roman" w:hAnsi="Times New Roman" w:cs="Times New Roman"/>
        </w:rPr>
        <w:t>5</w:t>
      </w:r>
      <w:r w:rsidR="00262FF1">
        <w:rPr>
          <w:rFonts w:ascii="Times New Roman" w:hAnsi="Times New Roman" w:cs="Times New Roman"/>
        </w:rPr>
        <w:t>,8</w:t>
      </w:r>
      <w:r>
        <w:rPr>
          <w:rFonts w:ascii="Times New Roman" w:hAnsi="Times New Roman" w:cs="Times New Roman"/>
        </w:rPr>
        <w:t xml:space="preserve"> puan) </w:t>
      </w:r>
      <w:r w:rsidR="00262FF1">
        <w:rPr>
          <w:rFonts w:ascii="Times New Roman" w:hAnsi="Times New Roman" w:cs="Times New Roman"/>
        </w:rPr>
        <w:t>artara</w:t>
      </w:r>
      <w:r w:rsidR="007C3780">
        <w:rPr>
          <w:rFonts w:ascii="Times New Roman" w:hAnsi="Times New Roman" w:cs="Times New Roman"/>
        </w:rPr>
        <w:t>k</w:t>
      </w:r>
      <w:r w:rsidR="00E2518C">
        <w:rPr>
          <w:rFonts w:ascii="Times New Roman" w:hAnsi="Times New Roman" w:cs="Times New Roman"/>
        </w:rPr>
        <w:t xml:space="preserve"> 99,2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E2518C">
        <w:rPr>
          <w:rFonts w:ascii="Times New Roman" w:hAnsi="Times New Roman" w:cs="Times New Roman"/>
        </w:rPr>
        <w:t>Temmuz</w:t>
      </w:r>
      <w:r w:rsidR="007C3780">
        <w:rPr>
          <w:rFonts w:ascii="Times New Roman" w:hAnsi="Times New Roman" w:cs="Times New Roman"/>
        </w:rPr>
        <w:t xml:space="preserve"> 2017’d</w:t>
      </w:r>
      <w:r w:rsidR="003C0AB3">
        <w:rPr>
          <w:rFonts w:ascii="Times New Roman" w:hAnsi="Times New Roman" w:cs="Times New Roman"/>
        </w:rPr>
        <w:t>e bir önceki aya göre</w:t>
      </w:r>
      <w:r w:rsidR="00E2518C">
        <w:rPr>
          <w:rFonts w:ascii="Times New Roman" w:hAnsi="Times New Roman" w:cs="Times New Roman"/>
        </w:rPr>
        <w:t xml:space="preserve"> 6,7</w:t>
      </w:r>
      <w:r>
        <w:rPr>
          <w:rFonts w:ascii="Times New Roman" w:hAnsi="Times New Roman" w:cs="Times New Roman"/>
        </w:rPr>
        <w:t xml:space="preserve"> puan </w:t>
      </w:r>
      <w:r w:rsidR="00E2518C">
        <w:rPr>
          <w:rFonts w:ascii="Times New Roman" w:hAnsi="Times New Roman" w:cs="Times New Roman"/>
        </w:rPr>
        <w:t>artmış</w:t>
      </w:r>
      <w:r>
        <w:rPr>
          <w:rFonts w:ascii="Times New Roman" w:hAnsi="Times New Roman" w:cs="Times New Roman"/>
        </w:rPr>
        <w:t xml:space="preserve"> ve </w:t>
      </w:r>
      <w:r w:rsidR="003C6B2D">
        <w:rPr>
          <w:rFonts w:ascii="Times New Roman" w:hAnsi="Times New Roman" w:cs="Times New Roman"/>
        </w:rPr>
        <w:t>9</w:t>
      </w:r>
      <w:r w:rsidR="00E2518C">
        <w:rPr>
          <w:rFonts w:ascii="Times New Roman" w:hAnsi="Times New Roman" w:cs="Times New Roman"/>
        </w:rPr>
        <w:t>9,7</w:t>
      </w:r>
      <w:r w:rsidR="008F037C">
        <w:rPr>
          <w:rFonts w:ascii="Times New Roman" w:hAnsi="Times New Roman" w:cs="Times New Roman"/>
        </w:rPr>
        <w:t xml:space="preserve"> puan olmuştur</w:t>
      </w:r>
      <w:r>
        <w:rPr>
          <w:rFonts w:ascii="Times New Roman" w:hAnsi="Times New Roman" w:cs="Times New Roman"/>
        </w:rPr>
        <w:t xml:space="preserve">. </w:t>
      </w:r>
      <w:r w:rsidR="00AA5196">
        <w:rPr>
          <w:rFonts w:ascii="Times New Roman" w:hAnsi="Times New Roman" w:cs="Times New Roman"/>
        </w:rPr>
        <w:t>Haziran</w:t>
      </w:r>
      <w:r w:rsidR="002E040D">
        <w:rPr>
          <w:rFonts w:ascii="Times New Roman" w:hAnsi="Times New Roman" w:cs="Times New Roman"/>
        </w:rPr>
        <w:t xml:space="preserve"> 2017</w:t>
      </w:r>
      <w:r w:rsidR="007C3780">
        <w:rPr>
          <w:rFonts w:ascii="Times New Roman" w:hAnsi="Times New Roman" w:cs="Times New Roman"/>
        </w:rPr>
        <w:t>’de</w:t>
      </w:r>
      <w:r w:rsidR="003C6B2D">
        <w:rPr>
          <w:rFonts w:ascii="Times New Roman" w:hAnsi="Times New Roman" w:cs="Times New Roman"/>
        </w:rPr>
        <w:t xml:space="preserve"> </w:t>
      </w:r>
      <w:r w:rsidR="00AA5196">
        <w:rPr>
          <w:rFonts w:ascii="Times New Roman" w:hAnsi="Times New Roman" w:cs="Times New Roman"/>
        </w:rPr>
        <w:t>109,8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AA5196">
        <w:rPr>
          <w:rFonts w:ascii="Times New Roman" w:hAnsi="Times New Roman" w:cs="Times New Roman"/>
        </w:rPr>
        <w:t>Temmuz</w:t>
      </w:r>
      <w:r w:rsidR="007C3780">
        <w:rPr>
          <w:rFonts w:ascii="Times New Roman" w:hAnsi="Times New Roman" w:cs="Times New Roman"/>
        </w:rPr>
        <w:t xml:space="preserve"> 2017’de </w:t>
      </w:r>
      <w:r w:rsidR="002D1321">
        <w:rPr>
          <w:rFonts w:ascii="Times New Roman" w:hAnsi="Times New Roman" w:cs="Times New Roman"/>
        </w:rPr>
        <w:t xml:space="preserve">yüzde </w:t>
      </w:r>
      <w:r w:rsidR="00AA5196">
        <w:rPr>
          <w:rFonts w:ascii="Times New Roman" w:hAnsi="Times New Roman" w:cs="Times New Roman"/>
        </w:rPr>
        <w:t>2,2</w:t>
      </w:r>
      <w:r w:rsidR="007C3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oranında </w:t>
      </w:r>
      <w:r w:rsidR="00AA5196">
        <w:rPr>
          <w:rFonts w:ascii="Times New Roman" w:hAnsi="Times New Roman" w:cs="Times New Roman"/>
        </w:rPr>
        <w:t>artm</w:t>
      </w:r>
      <w:r w:rsidR="007C3780">
        <w:rPr>
          <w:rFonts w:ascii="Times New Roman" w:hAnsi="Times New Roman" w:cs="Times New Roman"/>
        </w:rPr>
        <w:t>ış</w:t>
      </w:r>
      <w:r w:rsidR="0067222E">
        <w:rPr>
          <w:rFonts w:ascii="Times New Roman" w:hAnsi="Times New Roman" w:cs="Times New Roman"/>
        </w:rPr>
        <w:t xml:space="preserve"> ve</w:t>
      </w:r>
      <w:r w:rsidR="002D1321">
        <w:rPr>
          <w:rFonts w:ascii="Times New Roman" w:hAnsi="Times New Roman" w:cs="Times New Roman"/>
        </w:rPr>
        <w:t xml:space="preserve"> 1</w:t>
      </w:r>
      <w:r w:rsidR="00AA5196">
        <w:rPr>
          <w:rFonts w:ascii="Times New Roman" w:hAnsi="Times New Roman" w:cs="Times New Roman"/>
        </w:rPr>
        <w:t>12,3</w:t>
      </w:r>
      <w:r w:rsidR="007C3780">
        <w:rPr>
          <w:rFonts w:ascii="Times New Roman" w:hAnsi="Times New Roman" w:cs="Times New Roman"/>
        </w:rPr>
        <w:t xml:space="preserve"> </w:t>
      </w:r>
      <w:r w:rsidR="003C0AB3">
        <w:rPr>
          <w:rFonts w:ascii="Times New Roman" w:hAnsi="Times New Roman" w:cs="Times New Roman"/>
        </w:rPr>
        <w:t>olmuştur</w:t>
      </w:r>
      <w:r>
        <w:rPr>
          <w:rFonts w:ascii="Times New Roman" w:hAnsi="Times New Roman" w:cs="Times New Roman"/>
        </w:rPr>
        <w:t xml:space="preserve">. </w:t>
      </w:r>
    </w:p>
    <w:p w:rsidR="00415908" w:rsidRDefault="00415908" w:rsidP="00415908">
      <w:pPr>
        <w:pStyle w:val="Caption"/>
        <w:keepNext/>
      </w:pPr>
      <w:r>
        <w:t xml:space="preserve">Tablo </w:t>
      </w:r>
      <w:fldSimple w:instr=" SEQ Tablo \* ARABIC ">
        <w:r w:rsidR="00995A82">
          <w:rPr>
            <w:noProof/>
          </w:rPr>
          <w:t>2</w:t>
        </w:r>
      </w:fldSimple>
      <w:r>
        <w:t>: Hizmet sektörü güven endeksi alt bileşenleri (</w:t>
      </w:r>
      <w:r w:rsidR="007C3780">
        <w:t xml:space="preserve"> Haziran</w:t>
      </w:r>
      <w:r w:rsidR="00A8233A">
        <w:t xml:space="preserve"> - Temmuz</w:t>
      </w:r>
      <w:r w:rsidR="007C3780">
        <w:t xml:space="preserve"> 2017</w:t>
      </w:r>
      <w: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C4634F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C4634F" w:rsidRPr="00F73F8D" w:rsidRDefault="00C4634F" w:rsidP="00C4634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C4634F" w:rsidRPr="00415908" w:rsidRDefault="00C4634F" w:rsidP="00C46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Haz.17</w:t>
            </w:r>
          </w:p>
        </w:tc>
        <w:tc>
          <w:tcPr>
            <w:tcW w:w="1358" w:type="dxa"/>
            <w:noWrap/>
          </w:tcPr>
          <w:p w:rsidR="00C4634F" w:rsidRPr="00415908" w:rsidRDefault="00C4634F" w:rsidP="00C46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Tem.17</w:t>
            </w:r>
          </w:p>
        </w:tc>
      </w:tr>
      <w:tr w:rsidR="00C4634F" w:rsidRPr="00F73F8D" w:rsidTr="00C4634F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C4634F" w:rsidRPr="00F73F8D" w:rsidRDefault="00C4634F" w:rsidP="00C4634F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hideMark/>
          </w:tcPr>
          <w:p w:rsidR="00C4634F" w:rsidRPr="00F73F8D" w:rsidRDefault="00C4634F" w:rsidP="00C46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98,8</w:t>
            </w:r>
          </w:p>
        </w:tc>
        <w:tc>
          <w:tcPr>
            <w:tcW w:w="1358" w:type="dxa"/>
            <w:noWrap/>
          </w:tcPr>
          <w:p w:rsidR="00C4634F" w:rsidRPr="00F73F8D" w:rsidRDefault="00C4634F" w:rsidP="00C46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103,7</w:t>
            </w:r>
          </w:p>
        </w:tc>
      </w:tr>
      <w:tr w:rsidR="00C4634F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C4634F" w:rsidRPr="00F73F8D" w:rsidRDefault="00C4634F" w:rsidP="00C4634F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</w:tcPr>
          <w:p w:rsidR="00C4634F" w:rsidRPr="00F73F8D" w:rsidRDefault="00C4634F" w:rsidP="00C46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93,4</w:t>
            </w:r>
          </w:p>
        </w:tc>
        <w:tc>
          <w:tcPr>
            <w:tcW w:w="1358" w:type="dxa"/>
            <w:noWrap/>
          </w:tcPr>
          <w:p w:rsidR="00C4634F" w:rsidRPr="00F73F8D" w:rsidRDefault="00C4634F" w:rsidP="00C46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99,2</w:t>
            </w:r>
          </w:p>
        </w:tc>
      </w:tr>
      <w:tr w:rsidR="00C4634F" w:rsidRPr="00F73F8D" w:rsidTr="00C4634F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C4634F" w:rsidRPr="00F73F8D" w:rsidRDefault="00C4634F" w:rsidP="00C4634F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(son 3 aylık dönemde</w:t>
            </w:r>
            <w:r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  <w:hideMark/>
          </w:tcPr>
          <w:p w:rsidR="00C4634F" w:rsidRPr="00F73F8D" w:rsidRDefault="00C4634F" w:rsidP="00C46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358" w:type="dxa"/>
            <w:noWrap/>
          </w:tcPr>
          <w:p w:rsidR="00C4634F" w:rsidRPr="00F73F8D" w:rsidRDefault="00C4634F" w:rsidP="00C46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99,7</w:t>
            </w:r>
          </w:p>
        </w:tc>
      </w:tr>
      <w:tr w:rsidR="00C4634F" w:rsidRPr="00F73F8D" w:rsidTr="00C46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C4634F" w:rsidRPr="00F73F8D" w:rsidRDefault="00C4634F" w:rsidP="00C4634F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hideMark/>
          </w:tcPr>
          <w:p w:rsidR="00C4634F" w:rsidRPr="00F73F8D" w:rsidRDefault="00C4634F" w:rsidP="00C46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109,8</w:t>
            </w:r>
          </w:p>
        </w:tc>
        <w:tc>
          <w:tcPr>
            <w:tcW w:w="1358" w:type="dxa"/>
            <w:noWrap/>
          </w:tcPr>
          <w:p w:rsidR="00C4634F" w:rsidRPr="00F73F8D" w:rsidRDefault="00C4634F" w:rsidP="00C46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112,3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F0"/>
    <w:rsid w:val="00001939"/>
    <w:rsid w:val="000165C7"/>
    <w:rsid w:val="00023034"/>
    <w:rsid w:val="000378BB"/>
    <w:rsid w:val="00041E14"/>
    <w:rsid w:val="00086B75"/>
    <w:rsid w:val="001026C6"/>
    <w:rsid w:val="00107F1F"/>
    <w:rsid w:val="0011679B"/>
    <w:rsid w:val="00161E0D"/>
    <w:rsid w:val="00165BA5"/>
    <w:rsid w:val="00170F04"/>
    <w:rsid w:val="001A0EC5"/>
    <w:rsid w:val="001B3FD6"/>
    <w:rsid w:val="001B4B87"/>
    <w:rsid w:val="001C5D32"/>
    <w:rsid w:val="001F45C1"/>
    <w:rsid w:val="00200568"/>
    <w:rsid w:val="002005BA"/>
    <w:rsid w:val="00226F56"/>
    <w:rsid w:val="00233F6E"/>
    <w:rsid w:val="00262FF1"/>
    <w:rsid w:val="00264FA3"/>
    <w:rsid w:val="002701B7"/>
    <w:rsid w:val="00282CEF"/>
    <w:rsid w:val="002B5EAF"/>
    <w:rsid w:val="002C176D"/>
    <w:rsid w:val="002D1321"/>
    <w:rsid w:val="002D467F"/>
    <w:rsid w:val="002E040D"/>
    <w:rsid w:val="00304DB6"/>
    <w:rsid w:val="0037286A"/>
    <w:rsid w:val="00374EB7"/>
    <w:rsid w:val="00376705"/>
    <w:rsid w:val="003A4DE8"/>
    <w:rsid w:val="003A4E9E"/>
    <w:rsid w:val="003C0AB3"/>
    <w:rsid w:val="003C6B2D"/>
    <w:rsid w:val="003E7ABA"/>
    <w:rsid w:val="00414D32"/>
    <w:rsid w:val="00415908"/>
    <w:rsid w:val="004471C7"/>
    <w:rsid w:val="0045208A"/>
    <w:rsid w:val="004701F9"/>
    <w:rsid w:val="00472839"/>
    <w:rsid w:val="00494A67"/>
    <w:rsid w:val="004A0B57"/>
    <w:rsid w:val="004A15F5"/>
    <w:rsid w:val="004C3B97"/>
    <w:rsid w:val="004F0E94"/>
    <w:rsid w:val="005131B0"/>
    <w:rsid w:val="005132FC"/>
    <w:rsid w:val="005148AF"/>
    <w:rsid w:val="005365D4"/>
    <w:rsid w:val="005434BB"/>
    <w:rsid w:val="00543DFC"/>
    <w:rsid w:val="00550581"/>
    <w:rsid w:val="00576633"/>
    <w:rsid w:val="005D1EB3"/>
    <w:rsid w:val="005E0AFC"/>
    <w:rsid w:val="006157CE"/>
    <w:rsid w:val="006178F0"/>
    <w:rsid w:val="00646E04"/>
    <w:rsid w:val="00647A5C"/>
    <w:rsid w:val="00647CB8"/>
    <w:rsid w:val="00660880"/>
    <w:rsid w:val="0067120F"/>
    <w:rsid w:val="0067222E"/>
    <w:rsid w:val="00674F4A"/>
    <w:rsid w:val="006934C1"/>
    <w:rsid w:val="006A1C57"/>
    <w:rsid w:val="006A3C59"/>
    <w:rsid w:val="006D6C3C"/>
    <w:rsid w:val="006F23D8"/>
    <w:rsid w:val="00703D10"/>
    <w:rsid w:val="0071356F"/>
    <w:rsid w:val="00722F2F"/>
    <w:rsid w:val="00730B95"/>
    <w:rsid w:val="00734FA4"/>
    <w:rsid w:val="00735C81"/>
    <w:rsid w:val="00746DDE"/>
    <w:rsid w:val="007542F0"/>
    <w:rsid w:val="00756E1D"/>
    <w:rsid w:val="00766039"/>
    <w:rsid w:val="007A61BB"/>
    <w:rsid w:val="007B5C52"/>
    <w:rsid w:val="007C3780"/>
    <w:rsid w:val="007C40D1"/>
    <w:rsid w:val="008071E5"/>
    <w:rsid w:val="008164FC"/>
    <w:rsid w:val="008212B1"/>
    <w:rsid w:val="00864D2F"/>
    <w:rsid w:val="00890360"/>
    <w:rsid w:val="008A3853"/>
    <w:rsid w:val="008B29F9"/>
    <w:rsid w:val="008C3A4E"/>
    <w:rsid w:val="008F037C"/>
    <w:rsid w:val="008F6EF4"/>
    <w:rsid w:val="00922474"/>
    <w:rsid w:val="00931BB6"/>
    <w:rsid w:val="0095774C"/>
    <w:rsid w:val="00960957"/>
    <w:rsid w:val="009724AC"/>
    <w:rsid w:val="00981E48"/>
    <w:rsid w:val="00982EED"/>
    <w:rsid w:val="00995A82"/>
    <w:rsid w:val="009B6A7A"/>
    <w:rsid w:val="009C52AE"/>
    <w:rsid w:val="009C7E77"/>
    <w:rsid w:val="009D63C0"/>
    <w:rsid w:val="00A00243"/>
    <w:rsid w:val="00A17C8D"/>
    <w:rsid w:val="00A2299A"/>
    <w:rsid w:val="00A270E3"/>
    <w:rsid w:val="00A332D6"/>
    <w:rsid w:val="00A8233A"/>
    <w:rsid w:val="00A928AB"/>
    <w:rsid w:val="00AA5196"/>
    <w:rsid w:val="00AB3B74"/>
    <w:rsid w:val="00AD0348"/>
    <w:rsid w:val="00AD6B7D"/>
    <w:rsid w:val="00AE146A"/>
    <w:rsid w:val="00B050DB"/>
    <w:rsid w:val="00B22A6C"/>
    <w:rsid w:val="00B36193"/>
    <w:rsid w:val="00B4408D"/>
    <w:rsid w:val="00B74F32"/>
    <w:rsid w:val="00B77501"/>
    <w:rsid w:val="00B81204"/>
    <w:rsid w:val="00B81743"/>
    <w:rsid w:val="00B81FEA"/>
    <w:rsid w:val="00BA0AF0"/>
    <w:rsid w:val="00BA3D68"/>
    <w:rsid w:val="00BB0798"/>
    <w:rsid w:val="00BB3B61"/>
    <w:rsid w:val="00BC452F"/>
    <w:rsid w:val="00BE14F5"/>
    <w:rsid w:val="00C03663"/>
    <w:rsid w:val="00C0378F"/>
    <w:rsid w:val="00C03934"/>
    <w:rsid w:val="00C04185"/>
    <w:rsid w:val="00C41B6B"/>
    <w:rsid w:val="00C4634F"/>
    <w:rsid w:val="00C51B65"/>
    <w:rsid w:val="00CA571E"/>
    <w:rsid w:val="00CA5ACC"/>
    <w:rsid w:val="00CC05F5"/>
    <w:rsid w:val="00CC0799"/>
    <w:rsid w:val="00CD2398"/>
    <w:rsid w:val="00CE566F"/>
    <w:rsid w:val="00D00F4A"/>
    <w:rsid w:val="00D11DC0"/>
    <w:rsid w:val="00D30BE9"/>
    <w:rsid w:val="00D41704"/>
    <w:rsid w:val="00D91A76"/>
    <w:rsid w:val="00DA1603"/>
    <w:rsid w:val="00DB0FFC"/>
    <w:rsid w:val="00DB377B"/>
    <w:rsid w:val="00DC3CEB"/>
    <w:rsid w:val="00DE3127"/>
    <w:rsid w:val="00DF240C"/>
    <w:rsid w:val="00DF6EC7"/>
    <w:rsid w:val="00E050E5"/>
    <w:rsid w:val="00E05545"/>
    <w:rsid w:val="00E12C81"/>
    <w:rsid w:val="00E14F76"/>
    <w:rsid w:val="00E15A75"/>
    <w:rsid w:val="00E22179"/>
    <w:rsid w:val="00E2518C"/>
    <w:rsid w:val="00E326F7"/>
    <w:rsid w:val="00E50E81"/>
    <w:rsid w:val="00E72ED9"/>
    <w:rsid w:val="00EA5332"/>
    <w:rsid w:val="00EB0C4D"/>
    <w:rsid w:val="00EB68C0"/>
    <w:rsid w:val="00ED4F9E"/>
    <w:rsid w:val="00EE168A"/>
    <w:rsid w:val="00EE3747"/>
    <w:rsid w:val="00F2387A"/>
    <w:rsid w:val="00F41309"/>
    <w:rsid w:val="00F5267F"/>
    <w:rsid w:val="00F66CF6"/>
    <w:rsid w:val="00F73F8D"/>
    <w:rsid w:val="00F91EC1"/>
    <w:rsid w:val="00FB149D"/>
    <w:rsid w:val="00FB558C"/>
    <w:rsid w:val="00FC6C44"/>
    <w:rsid w:val="00FD12B2"/>
    <w:rsid w:val="00FD5830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TableNormal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F0"/>
    <w:rPr>
      <w:rFonts w:eastAsiaTheme="minorEastAsia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TableNormal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F0"/>
    <w:rPr>
      <w:rFonts w:eastAsiaTheme="minorEastAsia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wnloads\-3801119357593724096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wnloads\-2260256517847790080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75987469308272"/>
          <c:y val="0.0509259259259259"/>
          <c:w val="0.734247904495809"/>
          <c:h val="0.755433435403908"/>
        </c:manualLayout>
      </c:layout>
      <c:lineChart>
        <c:grouping val="standard"/>
        <c:varyColors val="0"/>
        <c:ser>
          <c:idx val="0"/>
          <c:order val="0"/>
          <c:tx>
            <c:strRef>
              <c:f>'[-3801119357593724096..xls]Sayfa1'!$B$1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'[-3801119357593724096..xls]Sayfa1'!$A$2:$A$14</c:f>
              <c:strCache>
                <c:ptCount val="13"/>
                <c:pt idx="0">
                  <c:v>Tem. 16</c:v>
                </c:pt>
                <c:pt idx="1">
                  <c:v>Ağu.16</c:v>
                </c:pt>
                <c:pt idx="2">
                  <c:v>Eyl.16</c:v>
                </c:pt>
                <c:pt idx="3">
                  <c:v>Eki. 16</c:v>
                </c:pt>
                <c:pt idx="4">
                  <c:v>Kas.16</c:v>
                </c:pt>
                <c:pt idx="5">
                  <c:v>Ara.16</c:v>
                </c:pt>
                <c:pt idx="6">
                  <c:v>Oca.17</c:v>
                </c:pt>
                <c:pt idx="7">
                  <c:v>Şub.17</c:v>
                </c:pt>
                <c:pt idx="8">
                  <c:v>Mar.17</c:v>
                </c:pt>
                <c:pt idx="9">
                  <c:v>Nis.17</c:v>
                </c:pt>
                <c:pt idx="10">
                  <c:v>May.17</c:v>
                </c:pt>
                <c:pt idx="11">
                  <c:v>Haz.17</c:v>
                </c:pt>
                <c:pt idx="12">
                  <c:v>Tem.17</c:v>
                </c:pt>
              </c:strCache>
            </c:strRef>
          </c:cat>
          <c:val>
            <c:numRef>
              <c:f>'[-3801119357593724096..xls]Sayfa1'!$B$2:$B$14</c:f>
              <c:numCache>
                <c:formatCode>0.0</c:formatCode>
                <c:ptCount val="13"/>
                <c:pt idx="0">
                  <c:v>82.95355046230196</c:v>
                </c:pt>
                <c:pt idx="1">
                  <c:v>79.43470621188845</c:v>
                </c:pt>
                <c:pt idx="2">
                  <c:v>81.9898244223131</c:v>
                </c:pt>
                <c:pt idx="3">
                  <c:v>81.31705836900246</c:v>
                </c:pt>
                <c:pt idx="4">
                  <c:v>75.74678794794725</c:v>
                </c:pt>
                <c:pt idx="5">
                  <c:v>76.1481509640328</c:v>
                </c:pt>
                <c:pt idx="6">
                  <c:v>74.82767878122911</c:v>
                </c:pt>
                <c:pt idx="7">
                  <c:v>76.41378023844085</c:v>
                </c:pt>
                <c:pt idx="8">
                  <c:v>85.82107958418477</c:v>
                </c:pt>
                <c:pt idx="9">
                  <c:v>85.66623421092207</c:v>
                </c:pt>
                <c:pt idx="10">
                  <c:v>86.32491859137013</c:v>
                </c:pt>
                <c:pt idx="11">
                  <c:v>86.6895244771913</c:v>
                </c:pt>
                <c:pt idx="12">
                  <c:v>85.5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'[-3801119357593724096..xls]Sayfa1'!$C$1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'[-3801119357593724096..xls]Sayfa1'!$A$2:$A$14</c:f>
              <c:strCache>
                <c:ptCount val="13"/>
                <c:pt idx="0">
                  <c:v>Tem. 16</c:v>
                </c:pt>
                <c:pt idx="1">
                  <c:v>Ağu.16</c:v>
                </c:pt>
                <c:pt idx="2">
                  <c:v>Eyl.16</c:v>
                </c:pt>
                <c:pt idx="3">
                  <c:v>Eki. 16</c:v>
                </c:pt>
                <c:pt idx="4">
                  <c:v>Kas.16</c:v>
                </c:pt>
                <c:pt idx="5">
                  <c:v>Ara.16</c:v>
                </c:pt>
                <c:pt idx="6">
                  <c:v>Oca.17</c:v>
                </c:pt>
                <c:pt idx="7">
                  <c:v>Şub.17</c:v>
                </c:pt>
                <c:pt idx="8">
                  <c:v>Mar.17</c:v>
                </c:pt>
                <c:pt idx="9">
                  <c:v>Nis.17</c:v>
                </c:pt>
                <c:pt idx="10">
                  <c:v>May.17</c:v>
                </c:pt>
                <c:pt idx="11">
                  <c:v>Haz.17</c:v>
                </c:pt>
                <c:pt idx="12">
                  <c:v>Tem.17</c:v>
                </c:pt>
              </c:strCache>
            </c:strRef>
          </c:cat>
          <c:val>
            <c:numRef>
              <c:f>'[-3801119357593724096..xls]Sayfa1'!$C$2:$C$14</c:f>
              <c:numCache>
                <c:formatCode>0.0</c:formatCode>
                <c:ptCount val="13"/>
                <c:pt idx="0">
                  <c:v>84.02834712730197</c:v>
                </c:pt>
                <c:pt idx="1">
                  <c:v>79.25598451238847</c:v>
                </c:pt>
                <c:pt idx="2">
                  <c:v>78.27903520231318</c:v>
                </c:pt>
                <c:pt idx="3">
                  <c:v>73.93435691900246</c:v>
                </c:pt>
                <c:pt idx="4">
                  <c:v>69.43489824794725</c:v>
                </c:pt>
                <c:pt idx="5">
                  <c:v>67.20897351403279</c:v>
                </c:pt>
                <c:pt idx="6">
                  <c:v>73.21231320009067</c:v>
                </c:pt>
                <c:pt idx="7">
                  <c:v>79.05295957562788</c:v>
                </c:pt>
                <c:pt idx="8">
                  <c:v>92.0668013802008</c:v>
                </c:pt>
                <c:pt idx="9">
                  <c:v>93.37537431894796</c:v>
                </c:pt>
                <c:pt idx="10">
                  <c:v>92.2822746359607</c:v>
                </c:pt>
                <c:pt idx="11">
                  <c:v>90.432677375146</c:v>
                </c:pt>
                <c:pt idx="12" formatCode="General">
                  <c:v>87.1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2339768"/>
        <c:axId val="2122731800"/>
      </c:lineChart>
      <c:catAx>
        <c:axId val="2102339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2731800"/>
        <c:crosses val="autoZero"/>
        <c:auto val="1"/>
        <c:lblAlgn val="ctr"/>
        <c:lblOffset val="100"/>
        <c:noMultiLvlLbl val="0"/>
      </c:catAx>
      <c:valAx>
        <c:axId val="2122731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023397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5181610363221"/>
          <c:y val="0.321178915135608"/>
          <c:w val="0.202667852002371"/>
          <c:h val="0.4270866141732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683975478674922"/>
          <c:y val="0.0509259259259259"/>
          <c:w val="0.717285644172527"/>
          <c:h val="0.777708880139983"/>
        </c:manualLayout>
      </c:layout>
      <c:lineChart>
        <c:grouping val="standard"/>
        <c:varyColors val="0"/>
        <c:ser>
          <c:idx val="0"/>
          <c:order val="0"/>
          <c:tx>
            <c:strRef>
              <c:f>'[-2260256517847790080..xls]Sayfa1'!$B$1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marker>
            <c:symbol val="none"/>
          </c:marker>
          <c:cat>
            <c:strRef>
              <c:f>'[-2260256517847790080..xls]Sayfa1'!$A$2:$A$14</c:f>
              <c:strCache>
                <c:ptCount val="13"/>
                <c:pt idx="0">
                  <c:v>Tem. 16</c:v>
                </c:pt>
                <c:pt idx="1">
                  <c:v>Ağu.16</c:v>
                </c:pt>
                <c:pt idx="2">
                  <c:v>Eyl.16</c:v>
                </c:pt>
                <c:pt idx="3">
                  <c:v>Eki. 16</c:v>
                </c:pt>
                <c:pt idx="4">
                  <c:v>Kas.16</c:v>
                </c:pt>
                <c:pt idx="5">
                  <c:v>Ara.16</c:v>
                </c:pt>
                <c:pt idx="6">
                  <c:v>Oca.17</c:v>
                </c:pt>
                <c:pt idx="7">
                  <c:v>Şub.17</c:v>
                </c:pt>
                <c:pt idx="8">
                  <c:v>Mar.17</c:v>
                </c:pt>
                <c:pt idx="9">
                  <c:v>Nis.17</c:v>
                </c:pt>
                <c:pt idx="10">
                  <c:v>May.17</c:v>
                </c:pt>
                <c:pt idx="11">
                  <c:v>Haz.17</c:v>
                </c:pt>
                <c:pt idx="12">
                  <c:v>Tem.17</c:v>
                </c:pt>
              </c:strCache>
            </c:strRef>
          </c:cat>
          <c:val>
            <c:numRef>
              <c:f>'[-2260256517847790080..xls]Sayfa1'!$B$2:$B$14</c:f>
              <c:numCache>
                <c:formatCode>0.0</c:formatCode>
                <c:ptCount val="13"/>
                <c:pt idx="0">
                  <c:v>100.859732168164</c:v>
                </c:pt>
                <c:pt idx="1">
                  <c:v>91.05544027147155</c:v>
                </c:pt>
                <c:pt idx="2">
                  <c:v>96.23017916758407</c:v>
                </c:pt>
                <c:pt idx="3">
                  <c:v>94.48592258682582</c:v>
                </c:pt>
                <c:pt idx="4">
                  <c:v>96.775208405277</c:v>
                </c:pt>
                <c:pt idx="5">
                  <c:v>93.3456321312913</c:v>
                </c:pt>
                <c:pt idx="6">
                  <c:v>87.51484218533227</c:v>
                </c:pt>
                <c:pt idx="7">
                  <c:v>92.86300217233946</c:v>
                </c:pt>
                <c:pt idx="8">
                  <c:v>96.94758483894806</c:v>
                </c:pt>
                <c:pt idx="9">
                  <c:v>99.86767772928715</c:v>
                </c:pt>
                <c:pt idx="10">
                  <c:v>101.9588002817493</c:v>
                </c:pt>
                <c:pt idx="11">
                  <c:v>98.75092318659455</c:v>
                </c:pt>
                <c:pt idx="12">
                  <c:v>103.7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'[-2260256517847790080..xls]Sayfa1'!$C$1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marker>
            <c:symbol val="none"/>
          </c:marker>
          <c:cat>
            <c:strRef>
              <c:f>'[-2260256517847790080..xls]Sayfa1'!$A$2:$A$14</c:f>
              <c:strCache>
                <c:ptCount val="13"/>
                <c:pt idx="0">
                  <c:v>Tem. 16</c:v>
                </c:pt>
                <c:pt idx="1">
                  <c:v>Ağu.16</c:v>
                </c:pt>
                <c:pt idx="2">
                  <c:v>Eyl.16</c:v>
                </c:pt>
                <c:pt idx="3">
                  <c:v>Eki. 16</c:v>
                </c:pt>
                <c:pt idx="4">
                  <c:v>Kas.16</c:v>
                </c:pt>
                <c:pt idx="5">
                  <c:v>Ara.16</c:v>
                </c:pt>
                <c:pt idx="6">
                  <c:v>Oca.17</c:v>
                </c:pt>
                <c:pt idx="7">
                  <c:v>Şub.17</c:v>
                </c:pt>
                <c:pt idx="8">
                  <c:v>Mar.17</c:v>
                </c:pt>
                <c:pt idx="9">
                  <c:v>Nis.17</c:v>
                </c:pt>
                <c:pt idx="10">
                  <c:v>May.17</c:v>
                </c:pt>
                <c:pt idx="11">
                  <c:v>Haz.17</c:v>
                </c:pt>
                <c:pt idx="12">
                  <c:v>Tem.17</c:v>
                </c:pt>
              </c:strCache>
            </c:strRef>
          </c:cat>
          <c:val>
            <c:numRef>
              <c:f>'[-2260256517847790080..xls]Sayfa1'!$C$2:$C$14</c:f>
              <c:numCache>
                <c:formatCode>0.0</c:formatCode>
                <c:ptCount val="13"/>
                <c:pt idx="0">
                  <c:v>101.42032794483</c:v>
                </c:pt>
                <c:pt idx="1">
                  <c:v>95.61493899147159</c:v>
                </c:pt>
                <c:pt idx="2">
                  <c:v>95.8870110509174</c:v>
                </c:pt>
                <c:pt idx="3">
                  <c:v>91.86057301015916</c:v>
                </c:pt>
                <c:pt idx="4">
                  <c:v>89.28370284194368</c:v>
                </c:pt>
                <c:pt idx="5">
                  <c:v>83.57052583795796</c:v>
                </c:pt>
                <c:pt idx="6">
                  <c:v>80.12855245127291</c:v>
                </c:pt>
                <c:pt idx="7">
                  <c:v>88.65953433705376</c:v>
                </c:pt>
                <c:pt idx="8">
                  <c:v>96.32502917679066</c:v>
                </c:pt>
                <c:pt idx="9">
                  <c:v>103.3893045630055</c:v>
                </c:pt>
                <c:pt idx="10">
                  <c:v>109.1793447096501</c:v>
                </c:pt>
                <c:pt idx="11">
                  <c:v>105.2441461196902</c:v>
                </c:pt>
                <c:pt idx="12">
                  <c:v>108.7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5069144"/>
        <c:axId val="-2120486456"/>
      </c:lineChart>
      <c:catAx>
        <c:axId val="2095069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20486456"/>
        <c:crosses val="autoZero"/>
        <c:auto val="1"/>
        <c:lblAlgn val="ctr"/>
        <c:lblOffset val="100"/>
        <c:noMultiLvlLbl val="0"/>
      </c:catAx>
      <c:valAx>
        <c:axId val="-2120486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95069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8519971588917"/>
          <c:y val="0.350100247885681"/>
          <c:w val="0.188363497245771"/>
          <c:h val="0.359589878578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F2F1-3A09-2845-A199-AE20BA3E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2566</Characters>
  <Application>Microsoft Macintosh Word</Application>
  <DocSecurity>4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Bengisu</cp:lastModifiedBy>
  <cp:revision>2</cp:revision>
  <cp:lastPrinted>2017-06-23T10:36:00Z</cp:lastPrinted>
  <dcterms:created xsi:type="dcterms:W3CDTF">2017-07-26T07:08:00Z</dcterms:created>
  <dcterms:modified xsi:type="dcterms:W3CDTF">2017-07-26T07:08:00Z</dcterms:modified>
</cp:coreProperties>
</file>